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TableGrid"/>
        <w:tblW w:w="9525" w:type="dxa"/>
        <w:jc w:val="left"/>
        <w:tblInd w:w="-270" w:type="dxa"/>
        <w:tblLayout w:type="fixed"/>
        <w:tblCellMar>
          <w:top w:w="0" w:type="dxa"/>
          <w:left w:w="108" w:type="dxa"/>
          <w:bottom w:w="0" w:type="dxa"/>
          <w:right w:w="108" w:type="dxa"/>
        </w:tblCellMar>
        <w:tblLook w:firstRow="1" w:noVBand="1" w:lastRow="0" w:firstColumn="1" w:lastColumn="0" w:noHBand="0" w:val="04a0"/>
      </w:tblPr>
      <w:tblGrid>
        <w:gridCol w:w="2099"/>
        <w:gridCol w:w="7425"/>
      </w:tblGrid>
      <w:tr>
        <w:trPr>
          <w:trHeight w:val="416" w:hRule="atLeast"/>
        </w:trPr>
        <w:tc>
          <w:tcPr>
            <w:tcW w:w="2099" w:type="dxa"/>
            <w:tcBorders>
              <w:bottom w:val="single" w:sz="6" w:space="0" w:color="000000"/>
              <w:right w:val="single" w:sz="6" w:space="0" w:color="000000"/>
            </w:tcBorders>
          </w:tcPr>
          <w:p>
            <w:pPr>
              <w:pStyle w:val="Normal"/>
              <w:widowControl/>
              <w:suppressAutoHyphens w:val="true"/>
              <w:spacing w:before="0" w:after="160"/>
              <w:jc w:val="left"/>
              <w:rPr>
                <w:rFonts w:ascii="Arial" w:hAnsi="Arial"/>
                <w:sz w:val="24"/>
                <w:szCs w:val="24"/>
              </w:rPr>
            </w:pPr>
            <w:r>
              <w:rPr>
                <w:rFonts w:eastAsia="Aptos" w:cs="" w:ascii="Arial" w:hAnsi="Arial"/>
                <w:b/>
                <w:bCs/>
                <w:color w:val="000000"/>
                <w:kern w:val="2"/>
                <w:sz w:val="24"/>
                <w:szCs w:val="24"/>
                <w:lang w:val="en-GB" w:eastAsia="en-US" w:bidi="ar-SA"/>
              </w:rPr>
              <w:t>Title</w:t>
            </w:r>
          </w:p>
        </w:tc>
        <w:tc>
          <w:tcPr>
            <w:tcW w:w="7425" w:type="dxa"/>
            <w:tcBorders>
              <w:left w:val="single" w:sz="6" w:space="0" w:color="000000"/>
              <w:bottom w:val="single" w:sz="6" w:space="0" w:color="000000"/>
            </w:tcBorders>
          </w:tcPr>
          <w:p>
            <w:pPr>
              <w:pStyle w:val="Normal"/>
              <w:widowControl/>
              <w:suppressAutoHyphens w:val="true"/>
              <w:spacing w:before="0" w:after="160"/>
              <w:jc w:val="left"/>
              <w:rPr>
                <w:rFonts w:ascii="Arial" w:hAnsi="Arial"/>
                <w:sz w:val="24"/>
                <w:szCs w:val="24"/>
              </w:rPr>
            </w:pPr>
            <w:r>
              <w:rPr>
                <w:rFonts w:eastAsia="Aptos" w:cs="" w:ascii="Arial" w:hAnsi="Arial"/>
                <w:b/>
                <w:bCs/>
                <w:color w:val="000000"/>
                <w:kern w:val="2"/>
                <w:sz w:val="24"/>
                <w:szCs w:val="24"/>
                <w:lang w:val="en-GB" w:eastAsia="en-US" w:bidi="ar-SA"/>
              </w:rPr>
              <w:t>District Councillors’ Report</w:t>
            </w:r>
          </w:p>
        </w:tc>
      </w:tr>
      <w:tr>
        <w:trPr/>
        <w:tc>
          <w:tcPr>
            <w:tcW w:w="2099" w:type="dxa"/>
            <w:tcBorders>
              <w:top w:val="single" w:sz="6" w:space="0" w:color="000000"/>
              <w:bottom w:val="single" w:sz="6" w:space="0" w:color="000000"/>
              <w:right w:val="single" w:sz="6" w:space="0" w:color="000000"/>
            </w:tcBorders>
          </w:tcPr>
          <w:p>
            <w:pPr>
              <w:pStyle w:val="Normal"/>
              <w:widowControl/>
              <w:suppressAutoHyphens w:val="true"/>
              <w:spacing w:before="0" w:after="160"/>
              <w:jc w:val="left"/>
              <w:rPr>
                <w:rFonts w:ascii="Arial" w:hAnsi="Arial"/>
                <w:sz w:val="24"/>
                <w:szCs w:val="24"/>
              </w:rPr>
            </w:pPr>
            <w:r>
              <w:rPr>
                <w:rFonts w:eastAsia="Aptos" w:cs="" w:ascii="Arial" w:hAnsi="Arial"/>
                <w:b/>
                <w:bCs/>
                <w:color w:val="000000"/>
                <w:kern w:val="2"/>
                <w:sz w:val="24"/>
                <w:szCs w:val="24"/>
                <w:lang w:val="en-GB" w:eastAsia="en-US" w:bidi="ar-SA"/>
              </w:rPr>
              <w:t>Authors</w:t>
            </w:r>
          </w:p>
        </w:tc>
        <w:tc>
          <w:tcPr>
            <w:tcW w:w="7425" w:type="dxa"/>
            <w:tcBorders>
              <w:top w:val="single" w:sz="6" w:space="0" w:color="000000"/>
              <w:left w:val="single" w:sz="6" w:space="0" w:color="000000"/>
              <w:bottom w:val="single" w:sz="6" w:space="0" w:color="000000"/>
            </w:tcBorders>
          </w:tcPr>
          <w:p>
            <w:pPr>
              <w:pStyle w:val="Normal"/>
              <w:widowControl/>
              <w:suppressAutoHyphens w:val="true"/>
              <w:spacing w:before="0" w:after="160"/>
              <w:jc w:val="left"/>
              <w:rPr>
                <w:rFonts w:ascii="Arial" w:hAnsi="Arial"/>
                <w:sz w:val="24"/>
                <w:szCs w:val="24"/>
              </w:rPr>
            </w:pPr>
            <w:r>
              <w:rPr>
                <w:rFonts w:eastAsia="Aptos" w:cs="" w:ascii="Arial" w:hAnsi="Arial"/>
                <w:b/>
                <w:bCs/>
                <w:color w:val="000000"/>
                <w:kern w:val="2"/>
                <w:sz w:val="24"/>
                <w:szCs w:val="24"/>
                <w:lang w:val="en-GB" w:eastAsia="en-US" w:bidi="ar-SA"/>
              </w:rPr>
              <w:t>Cllrs Sue Cooper &amp; Andrea Powell</w:t>
            </w:r>
          </w:p>
        </w:tc>
      </w:tr>
      <w:tr>
        <w:trPr/>
        <w:tc>
          <w:tcPr>
            <w:tcW w:w="2099" w:type="dxa"/>
            <w:tcBorders>
              <w:top w:val="single" w:sz="6" w:space="0" w:color="000000"/>
              <w:bottom w:val="single" w:sz="6" w:space="0" w:color="000000"/>
              <w:right w:val="single" w:sz="6" w:space="0" w:color="000000"/>
            </w:tcBorders>
          </w:tcPr>
          <w:p>
            <w:pPr>
              <w:pStyle w:val="Normal"/>
              <w:widowControl/>
              <w:suppressAutoHyphens w:val="true"/>
              <w:spacing w:before="0" w:after="160"/>
              <w:jc w:val="left"/>
              <w:rPr>
                <w:rFonts w:ascii="Arial" w:hAnsi="Arial"/>
                <w:b/>
                <w:bCs/>
                <w:color w:val="000000"/>
                <w:sz w:val="24"/>
                <w:szCs w:val="24"/>
              </w:rPr>
            </w:pPr>
            <w:r>
              <w:rPr>
                <w:rFonts w:ascii="Arial" w:hAnsi="Arial"/>
                <w:b/>
                <w:bCs/>
                <w:color w:val="000000"/>
                <w:sz w:val="24"/>
                <w:szCs w:val="24"/>
              </w:rPr>
              <w:t>Parish</w:t>
            </w:r>
          </w:p>
        </w:tc>
        <w:tc>
          <w:tcPr>
            <w:tcW w:w="7425" w:type="dxa"/>
            <w:tcBorders>
              <w:top w:val="single" w:sz="6" w:space="0" w:color="000000"/>
              <w:left w:val="single" w:sz="6" w:space="0" w:color="000000"/>
              <w:bottom w:val="single" w:sz="6" w:space="0" w:color="000000"/>
            </w:tcBorders>
          </w:tcPr>
          <w:p>
            <w:pPr>
              <w:pStyle w:val="Normal"/>
              <w:widowControl/>
              <w:suppressAutoHyphens w:val="true"/>
              <w:spacing w:before="0" w:after="160"/>
              <w:jc w:val="left"/>
              <w:rPr>
                <w:rFonts w:ascii="Arial" w:hAnsi="Arial"/>
                <w:sz w:val="24"/>
                <w:szCs w:val="24"/>
              </w:rPr>
            </w:pPr>
            <w:r>
              <w:rPr>
                <w:rFonts w:eastAsia="Calibri" w:cs="Calibri" w:ascii="Arial" w:hAnsi="Arial"/>
                <w:b/>
                <w:bCs/>
                <w:color w:val="000000"/>
                <w:kern w:val="0"/>
                <w:sz w:val="24"/>
                <w:szCs w:val="24"/>
                <w:lang w:val="en-GB" w:eastAsia="en-US" w:bidi="ar-SA"/>
              </w:rPr>
              <w:t>Ewelme</w:t>
            </w:r>
          </w:p>
        </w:tc>
      </w:tr>
      <w:tr>
        <w:trPr>
          <w:trHeight w:val="420" w:hRule="atLeast"/>
        </w:trPr>
        <w:tc>
          <w:tcPr>
            <w:tcW w:w="2099" w:type="dxa"/>
            <w:tcBorders>
              <w:top w:val="single" w:sz="6" w:space="0" w:color="000000"/>
              <w:right w:val="single" w:sz="6" w:space="0" w:color="000000"/>
            </w:tcBorders>
          </w:tcPr>
          <w:p>
            <w:pPr>
              <w:pStyle w:val="Normal"/>
              <w:widowControl/>
              <w:suppressAutoHyphens w:val="true"/>
              <w:spacing w:before="0" w:after="160"/>
              <w:jc w:val="left"/>
              <w:rPr>
                <w:rFonts w:ascii="Arial" w:hAnsi="Arial"/>
                <w:sz w:val="24"/>
                <w:szCs w:val="24"/>
              </w:rPr>
            </w:pPr>
            <w:r>
              <w:rPr>
                <w:rFonts w:eastAsia="Aptos" w:cs="" w:ascii="Arial" w:hAnsi="Arial"/>
                <w:b/>
                <w:bCs/>
                <w:color w:val="000000"/>
                <w:kern w:val="2"/>
                <w:sz w:val="24"/>
                <w:szCs w:val="24"/>
                <w:lang w:val="en-GB" w:eastAsia="en-US" w:bidi="ar-SA"/>
              </w:rPr>
              <w:t>Date</w:t>
            </w:r>
          </w:p>
        </w:tc>
        <w:tc>
          <w:tcPr>
            <w:tcW w:w="7425" w:type="dxa"/>
            <w:tcBorders>
              <w:top w:val="single" w:sz="6" w:space="0" w:color="000000"/>
              <w:left w:val="single" w:sz="6" w:space="0" w:color="000000"/>
            </w:tcBorders>
          </w:tcPr>
          <w:p>
            <w:pPr>
              <w:pStyle w:val="Normal"/>
              <w:widowControl/>
              <w:suppressAutoHyphens w:val="true"/>
              <w:spacing w:before="0" w:after="160"/>
              <w:jc w:val="left"/>
              <w:rPr>
                <w:rFonts w:ascii="Arial" w:hAnsi="Arial"/>
                <w:sz w:val="24"/>
                <w:szCs w:val="24"/>
              </w:rPr>
            </w:pPr>
            <w:r>
              <w:rPr>
                <w:rFonts w:eastAsia="Calibri" w:cs="Calibri" w:ascii="Arial" w:hAnsi="Arial"/>
                <w:b/>
                <w:bCs/>
                <w:color w:val="000000"/>
                <w:kern w:val="0"/>
                <w:sz w:val="24"/>
                <w:szCs w:val="24"/>
                <w:lang w:val="en-GB" w:eastAsia="en-US" w:bidi="ar-SA"/>
              </w:rPr>
              <w:t>9</w:t>
            </w:r>
            <w:r>
              <w:rPr>
                <w:rFonts w:eastAsia="Calibri" w:cs="Calibri" w:ascii="Arial" w:hAnsi="Arial"/>
                <w:b/>
                <w:bCs/>
                <w:color w:val="000000"/>
                <w:kern w:val="0"/>
                <w:sz w:val="24"/>
                <w:szCs w:val="24"/>
                <w:vertAlign w:val="superscript"/>
                <w:lang w:val="en-GB" w:eastAsia="en-US" w:bidi="ar-SA"/>
              </w:rPr>
              <w:t>th</w:t>
            </w:r>
            <w:r>
              <w:rPr>
                <w:rFonts w:eastAsia="Calibri" w:cs="Calibri" w:ascii="Arial" w:hAnsi="Arial"/>
                <w:b/>
                <w:bCs/>
                <w:color w:val="000000"/>
                <w:kern w:val="0"/>
                <w:sz w:val="24"/>
                <w:szCs w:val="24"/>
                <w:lang w:val="en-GB" w:eastAsia="en-US" w:bidi="ar-SA"/>
              </w:rPr>
              <w:t xml:space="preserve"> </w:t>
            </w:r>
            <w:r>
              <w:rPr>
                <w:rFonts w:eastAsia="Calibri" w:cs="Calibri" w:ascii="Arial" w:hAnsi="Arial"/>
                <w:b/>
                <w:bCs/>
                <w:color w:val="000000"/>
                <w:kern w:val="0"/>
                <w:sz w:val="24"/>
                <w:szCs w:val="24"/>
                <w:lang w:val="en-GB" w:eastAsia="en-US" w:bidi="ar-SA"/>
              </w:rPr>
              <w:t xml:space="preserve"> September 2026</w:t>
            </w:r>
          </w:p>
        </w:tc>
      </w:tr>
    </w:tbl>
    <w:p>
      <w:pPr>
        <w:pStyle w:val="Normal"/>
        <w:rPr>
          <w:rFonts w:ascii="Arial" w:hAnsi="Arial"/>
          <w:color w:val="000000"/>
          <w:sz w:val="24"/>
          <w:szCs w:val="24"/>
        </w:rPr>
      </w:pPr>
      <w:r>
        <w:rPr>
          <w:rFonts w:ascii="Arial" w:hAnsi="Arial"/>
          <w:color w:val="000000"/>
          <w:sz w:val="24"/>
          <w:szCs w:val="24"/>
        </w:rPr>
      </w:r>
    </w:p>
    <w:p>
      <w:pPr>
        <w:pStyle w:val="Normal"/>
        <w:rPr>
          <w:rFonts w:ascii="Arial" w:hAnsi="Arial"/>
          <w:sz w:val="24"/>
          <w:szCs w:val="24"/>
        </w:rPr>
      </w:pPr>
      <w:r>
        <w:rPr>
          <w:rFonts w:cs="Arial" w:ascii="Arial" w:hAnsi="Arial"/>
          <w:b/>
          <w:color w:val="000000"/>
          <w:sz w:val="24"/>
          <w:szCs w:val="24"/>
        </w:rPr>
        <w:t>New Unitary Authorities warding arrangements for Oxfordshire and West Berkshire</w:t>
      </w:r>
    </w:p>
    <w:p>
      <w:pPr>
        <w:pStyle w:val="Normal"/>
        <w:rPr>
          <w:rFonts w:ascii="Arial" w:hAnsi="Arial"/>
          <w:sz w:val="24"/>
          <w:szCs w:val="24"/>
        </w:rPr>
      </w:pPr>
      <w:r>
        <w:rPr>
          <w:rFonts w:cs="Arial" w:ascii="Arial" w:hAnsi="Arial"/>
          <w:bCs/>
          <w:color w:val="000000"/>
          <w:sz w:val="24"/>
          <w:szCs w:val="24"/>
        </w:rPr>
        <w:t xml:space="preserve"> </w:t>
      </w:r>
      <w:r>
        <w:rPr>
          <w:rFonts w:cs="Arial" w:ascii="Arial" w:hAnsi="Arial"/>
          <w:bCs/>
          <w:color w:val="000000"/>
          <w:sz w:val="24"/>
          <w:szCs w:val="24"/>
        </w:rPr>
        <w:t>Two sets of warding suggestions for the shadow elections next May have been submitted to the minister, one from Oxford City Council for the new Greater Oxford and one from OCC &amp; SODC. It is the proposed wards around the edge of Greater Oxford which are contentious. Elsewhere the existing county divisions are proposed to be the new wards and most will have 2 councillors. Warborough and Dorchester are both very keen to be part of Ridgeway rather than Greater Oxford but it is not clear how this might be achieved. Boundary reviews should take place after next May but before the next set of elections to even up the ward sizes.</w:t>
      </w:r>
    </w:p>
    <w:p>
      <w:pPr>
        <w:pStyle w:val="Normal"/>
        <w:rPr>
          <w:rFonts w:ascii="Arial" w:hAnsi="Arial" w:cs="Arial"/>
          <w:b/>
          <w:bCs/>
          <w:color w:val="000000"/>
          <w:sz w:val="24"/>
          <w:szCs w:val="24"/>
        </w:rPr>
      </w:pPr>
      <w:r>
        <w:rPr>
          <w:rFonts w:cs="Arial" w:ascii="Arial" w:hAnsi="Arial"/>
          <w:b/>
          <w:bCs/>
          <w:color w:val="000000"/>
          <w:sz w:val="24"/>
          <w:szCs w:val="24"/>
        </w:rPr>
        <w:t>Annual update to the Electoral Registers</w:t>
      </w:r>
    </w:p>
    <w:p>
      <w:pPr>
        <w:pStyle w:val="Normal"/>
        <w:rPr>
          <w:rFonts w:ascii="Arial" w:hAnsi="Arial"/>
        </w:rPr>
      </w:pPr>
      <w:r>
        <w:rPr>
          <w:rFonts w:cs="Arial" w:ascii="Arial" w:hAnsi="Arial"/>
          <w:bCs/>
          <w:color w:val="000000"/>
          <w:sz w:val="24"/>
          <w:szCs w:val="24"/>
        </w:rPr>
        <w:t>Residents who receive a Voter Registration Canvass email this September are being urged to respond as soon as possible and before 2</w:t>
      </w:r>
      <w:r>
        <w:rPr>
          <w:rFonts w:cs="Arial" w:ascii="Arial" w:hAnsi="Arial"/>
          <w:bCs/>
          <w:color w:val="000000"/>
          <w:sz w:val="24"/>
          <w:szCs w:val="24"/>
          <w:vertAlign w:val="superscript"/>
        </w:rPr>
        <w:t>nd</w:t>
      </w:r>
      <w:r>
        <w:rPr>
          <w:rFonts w:cs="Arial" w:ascii="Arial" w:hAnsi="Arial"/>
          <w:bCs/>
          <w:color w:val="000000"/>
          <w:sz w:val="24"/>
          <w:szCs w:val="24"/>
        </w:rPr>
        <w:t xml:space="preserve"> October.  As well as keeping the register up to date this </w:t>
      </w:r>
      <w:r>
        <w:rPr>
          <w:rFonts w:ascii="Arial" w:hAnsi="Arial"/>
          <w:color w:val="000000"/>
          <w:sz w:val="24"/>
        </w:rPr>
        <w:t>saves public money as we don’t have to follow up by sending a letter to their property.</w:t>
      </w:r>
      <w:r>
        <w:rPr>
          <w:rFonts w:ascii="Arial" w:hAnsi="Arial"/>
        </w:rPr>
        <w:t xml:space="preserve">  Anyone over the age of 16 living at an address should be listed.</w:t>
      </w:r>
    </w:p>
    <w:p>
      <w:pPr>
        <w:pStyle w:val="BodyText"/>
        <w:rPr>
          <w:rFonts w:ascii="Arial" w:hAnsi="Arial" w:cs="Arial"/>
          <w:b/>
          <w:bCs/>
          <w:i w:val="false"/>
          <w:i w:val="false"/>
          <w:caps w:val="false"/>
          <w:smallCaps w:val="false"/>
          <w:color w:val="000000"/>
          <w:spacing w:val="0"/>
          <w:sz w:val="24"/>
          <w:szCs w:val="24"/>
        </w:rPr>
      </w:pPr>
      <w:r>
        <w:rPr>
          <w:rFonts w:cs="Arial" w:ascii="Arial" w:hAnsi="Arial"/>
          <w:b/>
          <w:bCs/>
          <w:i w:val="false"/>
          <w:caps w:val="false"/>
          <w:smallCaps w:val="false"/>
          <w:color w:val="000000"/>
          <w:spacing w:val="0"/>
          <w:sz w:val="24"/>
          <w:szCs w:val="24"/>
        </w:rPr>
        <w:t>Planning Decisions: Briefing for Town and Parish Councils</w:t>
      </w:r>
    </w:p>
    <w:p>
      <w:pPr>
        <w:pStyle w:val="BodyText"/>
        <w:widowControl/>
        <w:spacing w:lineRule="auto" w:line="278" w:before="0" w:after="160"/>
        <w:ind w:hanging="0" w:left="0" w:right="0"/>
        <w:rPr>
          <w:rFonts w:ascii="Arial" w:hAnsi="Arial" w:cs="Arial"/>
          <w:b w:val="false"/>
          <w:bCs/>
          <w:i w:val="false"/>
          <w:i w:val="false"/>
          <w:caps w:val="false"/>
          <w:smallCaps w:val="false"/>
          <w:color w:val="000000"/>
          <w:spacing w:val="0"/>
          <w:sz w:val="24"/>
          <w:szCs w:val="24"/>
        </w:rPr>
      </w:pPr>
      <w:r>
        <w:rPr>
          <w:rFonts w:cs="Arial" w:ascii="Arial" w:hAnsi="Arial"/>
          <w:b w:val="false"/>
          <w:bCs/>
          <w:i w:val="false"/>
          <w:caps w:val="false"/>
          <w:smallCaps w:val="false"/>
          <w:color w:val="000000"/>
          <w:spacing w:val="0"/>
          <w:sz w:val="24"/>
          <w:szCs w:val="24"/>
        </w:rPr>
        <w:t>Major national changes to the way planning applications are decided are due to come into force on 31 October 2026 through the National Scheme of Delegation of Planning Functions. These changes will mean more applications are determined by planning officers and will significantly reduce the circumstances in which ward councillors or Town and Parish Councils can secure consideration by Planning Committee.</w:t>
      </w:r>
    </w:p>
    <w:p>
      <w:pPr>
        <w:pStyle w:val="BodyText"/>
        <w:widowControl/>
        <w:spacing w:lineRule="auto" w:line="278" w:before="0" w:after="160"/>
        <w:ind w:hanging="0" w:left="0" w:right="0"/>
        <w:rPr>
          <w:rFonts w:ascii="Arial" w:hAnsi="Arial" w:cs="Arial"/>
          <w:b w:val="false"/>
          <w:bCs/>
          <w:i w:val="false"/>
          <w:i w:val="false"/>
          <w:caps w:val="false"/>
          <w:smallCaps w:val="false"/>
          <w:color w:val="000000"/>
          <w:spacing w:val="0"/>
          <w:sz w:val="24"/>
          <w:szCs w:val="24"/>
        </w:rPr>
      </w:pPr>
      <w:r>
        <w:rPr>
          <w:rFonts w:cs="Arial" w:ascii="Arial" w:hAnsi="Arial"/>
          <w:b w:val="false"/>
          <w:bCs/>
          <w:i w:val="false"/>
          <w:caps w:val="false"/>
          <w:smallCaps w:val="false"/>
          <w:color w:val="000000"/>
          <w:spacing w:val="0"/>
          <w:sz w:val="24"/>
          <w:szCs w:val="24"/>
        </w:rPr>
        <w:t>To help local councils prepare, South Oxfordshire is holding an online briefing for Town and Parish Councils on Thursday 10 September, from 5.30pm to 7.30pm. I would strongly encourage parish representatives to attend. If you cannot join live, the session will be recorded and shared afterwards. To register, email planning.admin@southandvale.gov.uk .</w:t>
      </w:r>
    </w:p>
    <w:p>
      <w:pPr>
        <w:pStyle w:val="BodyText"/>
        <w:widowControl/>
        <w:spacing w:lineRule="auto" w:line="278" w:before="0" w:after="160"/>
        <w:ind w:hanging="0" w:left="0" w:right="0"/>
        <w:rPr>
          <w:rFonts w:ascii="Arial" w:hAnsi="Arial" w:cs="Arial"/>
          <w:b w:val="false"/>
          <w:bCs/>
          <w:i w:val="false"/>
          <w:i w:val="false"/>
          <w:caps w:val="false"/>
          <w:smallCaps w:val="false"/>
          <w:color w:val="000000"/>
          <w:spacing w:val="0"/>
          <w:sz w:val="24"/>
          <w:szCs w:val="24"/>
        </w:rPr>
      </w:pPr>
      <w:r>
        <w:rPr>
          <w:rFonts w:cs="Arial" w:ascii="Arial" w:hAnsi="Arial"/>
          <w:b w:val="false"/>
          <w:bCs/>
          <w:i w:val="false"/>
          <w:caps w:val="false"/>
          <w:smallCaps w:val="false"/>
          <w:color w:val="000000"/>
          <w:spacing w:val="0"/>
          <w:sz w:val="24"/>
          <w:szCs w:val="24"/>
        </w:rPr>
        <w:t>You may also be aware that the government have recently issued a new version of the NPPF – the National Planning Policy Framework.</w:t>
      </w:r>
    </w:p>
    <w:p>
      <w:pPr>
        <w:pStyle w:val="BodyText"/>
        <w:spacing w:lineRule="auto" w:line="278" w:before="0" w:after="300"/>
        <w:rPr>
          <w:rFonts w:ascii="Arial" w:hAnsi="Arial"/>
          <w:b/>
          <w:bCs/>
          <w:i w:val="false"/>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New Online Council Map</w:t>
      </w:r>
    </w:p>
    <w:p>
      <w:pPr>
        <w:pStyle w:val="BodyText"/>
        <w:widowControl/>
        <w:spacing w:lineRule="auto" w:line="278" w:before="0" w:after="300"/>
        <w:ind w:hanging="0" w:left="0" w:right="0"/>
        <w:rPr>
          <w:rFonts w:ascii="Arial" w:hAnsi="Arial"/>
          <w:b w:val="false"/>
          <w:i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South Oxfordshire's new interactive public mapping system is now live. Residents can use it to search a wide range of publicly available information in one place, including planning applications, Tree Preservation Orders, land owned by the council and other geographic information.</w:t>
      </w:r>
    </w:p>
    <w:p>
      <w:pPr>
        <w:pStyle w:val="BodyText"/>
        <w:widowControl/>
        <w:spacing w:lineRule="auto" w:line="278" w:before="0" w:after="300"/>
        <w:ind w:hanging="0" w:left="0" w:right="0"/>
        <w:rPr>
          <w:rFonts w:ascii="Arial" w:hAnsi="Arial"/>
          <w:b w:val="false"/>
          <w:i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This should make it much easier for residents and parish councils to understand what applies to a particular site or area without having to search across several different systems. For a useful update to changes in the SODC part of the planning system see https://www.southoxon.gov.uk/south-oxfordshire-district-council/planning-and-development/new-planning-land-charges-and-mapping-systems-frequently-asked-questions-faq/</w:t>
      </w:r>
    </w:p>
    <w:p>
      <w:pPr>
        <w:pStyle w:val="Heading2"/>
        <w:spacing w:before="0" w:after="300"/>
        <w:rPr>
          <w:rFonts w:ascii="Arial" w:hAnsi="Arial" w:eastAsia="Aptos" w:cs="Arial"/>
          <w:b/>
          <w:bCs/>
          <w:color w:val="000000"/>
          <w:sz w:val="24"/>
          <w:szCs w:val="24"/>
        </w:rPr>
      </w:pPr>
      <w:r>
        <w:rPr>
          <w:rFonts w:eastAsia="Aptos" w:cs="Arial" w:ascii="Arial" w:hAnsi="Arial"/>
          <w:b/>
          <w:bCs/>
          <w:color w:val="000000"/>
          <w:sz w:val="24"/>
          <w:szCs w:val="24"/>
        </w:rPr>
        <w:t>Grants availability</w:t>
      </w:r>
    </w:p>
    <w:p>
      <w:pPr>
        <w:pStyle w:val="Heading2"/>
        <w:spacing w:before="0" w:after="300"/>
        <w:rPr>
          <w:rFonts w:ascii="Arial" w:hAnsi="Arial"/>
          <w:sz w:val="24"/>
          <w:szCs w:val="24"/>
        </w:rPr>
      </w:pPr>
      <w:r>
        <w:rPr>
          <w:rFonts w:eastAsia="Aptos" w:cs="Arial" w:ascii="Arial" w:hAnsi="Arial"/>
          <w:b/>
          <w:bCs/>
          <w:color w:val="000000"/>
          <w:sz w:val="24"/>
          <w:szCs w:val="24"/>
        </w:rPr>
        <w:t>South Nature and Climate Action Fund  – Grant applications open 28</w:t>
      </w:r>
      <w:r>
        <w:rPr>
          <w:rFonts w:eastAsia="Aptos" w:cs="Arial" w:ascii="Arial" w:hAnsi="Arial"/>
          <w:b/>
          <w:bCs/>
          <w:color w:val="000000"/>
          <w:sz w:val="24"/>
          <w:szCs w:val="24"/>
          <w:vertAlign w:val="superscript"/>
        </w:rPr>
        <w:t>th</w:t>
      </w:r>
      <w:r>
        <w:rPr>
          <w:rFonts w:eastAsia="Aptos" w:cs="Arial" w:ascii="Arial" w:hAnsi="Arial"/>
          <w:b/>
          <w:bCs/>
          <w:color w:val="000000"/>
          <w:sz w:val="24"/>
          <w:szCs w:val="24"/>
        </w:rPr>
        <w:t xml:space="preserve">  September</w:t>
      </w:r>
    </w:p>
    <w:p>
      <w:pPr>
        <w:pStyle w:val="BodyText"/>
        <w:spacing w:lineRule="auto" w:line="278" w:before="0" w:after="300"/>
        <w:rPr>
          <w:rFonts w:ascii="Arial" w:hAnsi="Arial"/>
          <w:sz w:val="24"/>
          <w:szCs w:val="24"/>
        </w:rPr>
      </w:pPr>
      <w:r>
        <w:rPr>
          <w:rFonts w:cs="Arial" w:ascii="Arial" w:hAnsi="Arial"/>
          <w:sz w:val="24"/>
          <w:szCs w:val="24"/>
        </w:rPr>
        <w:t xml:space="preserve">This </w:t>
      </w:r>
      <w:r>
        <w:rPr>
          <w:rFonts w:cs="Arial" w:ascii="Arial" w:hAnsi="Arial"/>
          <w:color w:val="000000"/>
          <w:sz w:val="24"/>
          <w:szCs w:val="24"/>
        </w:rPr>
        <w:t>is to support local projects that help to tackle climate change or help restore nature in our District. Relevant if you are already involved in a local group or simply looking to start taking climate action.</w:t>
      </w:r>
    </w:p>
    <w:p>
      <w:pPr>
        <w:pStyle w:val="Heading2"/>
        <w:spacing w:before="0" w:after="160"/>
        <w:rPr>
          <w:rFonts w:ascii="Arial" w:hAnsi="Arial"/>
          <w:sz w:val="24"/>
          <w:szCs w:val="24"/>
        </w:rPr>
      </w:pPr>
      <w:r>
        <w:rPr>
          <w:rFonts w:eastAsia="Aptos" w:cs="Arial" w:ascii="Arial" w:hAnsi="Arial"/>
          <w:b/>
          <w:bCs/>
          <w:color w:val="000000"/>
          <w:sz w:val="24"/>
          <w:szCs w:val="24"/>
        </w:rPr>
        <w:t>Performing Arts Grant Fund – opened 20 July 2026</w:t>
      </w:r>
    </w:p>
    <w:p>
      <w:pPr>
        <w:pStyle w:val="BodyText"/>
        <w:spacing w:lineRule="auto" w:line="278" w:before="0" w:after="300"/>
        <w:rPr>
          <w:rFonts w:ascii="Arial" w:hAnsi="Arial"/>
          <w:sz w:val="24"/>
          <w:szCs w:val="24"/>
        </w:rPr>
      </w:pPr>
      <w:r>
        <w:rPr>
          <w:rFonts w:cs="Arial" w:ascii="Arial" w:hAnsi="Arial"/>
          <w:color w:val="000000"/>
          <w:sz w:val="24"/>
          <w:szCs w:val="24"/>
        </w:rPr>
        <w:t>For projects that could enhance community wellbeing, foster mental, emotional and physical well-being through accessible performing arts initiatives that brings people together, or provide opportunities for diverse groups to participate in and access the performing arts, ensuring inclusivity across all demographics, including marginalised or under-represented communities. There is a fund of £60,000 available in 2026/27.</w:t>
      </w:r>
    </w:p>
    <w:p>
      <w:pPr>
        <w:pStyle w:val="BodyText"/>
        <w:spacing w:lineRule="auto" w:line="278" w:before="0" w:after="300"/>
        <w:rPr>
          <w:rFonts w:ascii="Arial" w:hAnsi="Arial"/>
          <w:sz w:val="24"/>
          <w:szCs w:val="24"/>
        </w:rPr>
      </w:pPr>
      <w:r>
        <w:rPr>
          <w:rFonts w:cs="Arial" w:ascii="Arial" w:hAnsi="Arial"/>
          <w:b/>
          <w:bCs/>
          <w:color w:val="000000"/>
          <w:sz w:val="24"/>
          <w:szCs w:val="24"/>
        </w:rPr>
        <w:t>Councillor Grant Fund – opened 17</w:t>
      </w:r>
      <w:r>
        <w:rPr>
          <w:rFonts w:cs="Arial" w:ascii="Arial" w:hAnsi="Arial"/>
          <w:b/>
          <w:bCs/>
          <w:color w:val="000000"/>
          <w:sz w:val="24"/>
          <w:szCs w:val="24"/>
          <w:vertAlign w:val="superscript"/>
        </w:rPr>
        <w:t>th</w:t>
      </w:r>
      <w:r>
        <w:rPr>
          <w:rFonts w:cs="Arial" w:ascii="Arial" w:hAnsi="Arial"/>
          <w:b/>
          <w:bCs/>
          <w:color w:val="000000"/>
          <w:sz w:val="24"/>
          <w:szCs w:val="24"/>
        </w:rPr>
        <w:t xml:space="preserve"> August 2026</w:t>
      </w:r>
    </w:p>
    <w:p>
      <w:pPr>
        <w:pStyle w:val="BodyText"/>
        <w:spacing w:lineRule="auto" w:line="278" w:before="0" w:after="300"/>
        <w:rPr/>
      </w:pPr>
      <w:r>
        <w:rPr>
          <w:rFonts w:cs="Arial" w:ascii="Arial" w:hAnsi="Arial"/>
          <w:color w:val="000000"/>
          <w:sz w:val="24"/>
          <w:szCs w:val="24"/>
        </w:rPr>
        <w:t xml:space="preserve">Once again we have £15k to allocate to deserving projects and organisations in this financial year.  Contact </w:t>
      </w:r>
      <w:hyperlink r:id="rId2">
        <w:r>
          <w:rPr>
            <w:rStyle w:val="Hyperlink"/>
            <w:rFonts w:cs="Arial" w:ascii="Arial" w:hAnsi="Arial"/>
            <w:sz w:val="24"/>
            <w:szCs w:val="24"/>
          </w:rPr>
          <w:t>Grants@southandvale.gov.uk</w:t>
        </w:r>
      </w:hyperlink>
      <w:r>
        <w:rPr>
          <w:rFonts w:cs="Arial" w:ascii="Arial" w:hAnsi="Arial"/>
          <w:color w:val="000000"/>
          <w:sz w:val="24"/>
          <w:szCs w:val="24"/>
        </w:rPr>
        <w:t xml:space="preserve"> for any questions about eligibility. Do discuss your proposals with one of us before applying.</w:t>
      </w:r>
    </w:p>
    <w:p>
      <w:pPr>
        <w:pStyle w:val="BodyText"/>
        <w:widowControl/>
        <w:spacing w:lineRule="auto" w:line="278" w:before="0" w:after="300"/>
        <w:ind w:hanging="0" w:left="0" w:right="0"/>
        <w:rPr>
          <w:rFonts w:ascii="Arial" w:hAnsi="Arial"/>
          <w:b/>
          <w:bCs/>
          <w:i w:val="false"/>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 xml:space="preserve"> </w:t>
      </w:r>
      <w:r>
        <w:rPr>
          <w:rFonts w:ascii="Arial" w:hAnsi="Arial"/>
          <w:b/>
          <w:bCs/>
          <w:i w:val="false"/>
          <w:caps w:val="false"/>
          <w:smallCaps w:val="false"/>
          <w:color w:val="000000"/>
          <w:spacing w:val="0"/>
          <w:sz w:val="24"/>
          <w:szCs w:val="24"/>
        </w:rPr>
        <w:t>Temporary Restrictions on Fridge and Freezer Disposal</w:t>
      </w:r>
    </w:p>
    <w:p>
      <w:pPr>
        <w:pStyle w:val="BodyText"/>
        <w:widowControl/>
        <w:spacing w:lineRule="auto" w:line="278" w:before="0" w:after="300"/>
        <w:ind w:hanging="0" w:left="0" w:right="0"/>
        <w:rPr>
          <w:rFonts w:ascii="Arial" w:hAnsi="Arial"/>
          <w:b w:val="false"/>
          <w:i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Temporary restrictions have been introduced for disposing of fridges and freezers at Oxfordshire's Household Waste Recycling Centres. This is not an Oxfordshire-specific problem: three specialist UK processing facilities have closed over the last year, reducing national capacity by around a third. Some councils have stopped accepting these appliances altogether and they cannot be taken as part of bulky waste collections booked through SODC. Oxfordshire is introducing limits to try to keep a service available.</w:t>
      </w:r>
    </w:p>
    <w:p>
      <w:pPr>
        <w:pStyle w:val="BodyText"/>
        <w:widowControl/>
        <w:spacing w:lineRule="auto" w:line="278" w:before="0" w:after="300"/>
        <w:ind w:hanging="0" w:left="0" w:right="0"/>
        <w:rPr>
          <w:rFonts w:ascii="Arial" w:hAnsi="Arial"/>
          <w:b/>
          <w:bCs/>
          <w:i w:val="false"/>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Support for Local Businesses</w:t>
      </w:r>
    </w:p>
    <w:p>
      <w:pPr>
        <w:pStyle w:val="BodyText"/>
        <w:widowControl/>
        <w:spacing w:lineRule="auto" w:line="278" w:before="0" w:after="300"/>
        <w:ind w:hanging="0" w:left="0" w:right="0"/>
        <w:rPr>
          <w:rFonts w:ascii="Arial" w:hAnsi="Arial"/>
          <w:b w:val="false"/>
          <w:i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South Oxfordshire's Economic Development team provides free information and support to local businesses, including regular updates on funding, skills programmes, networking opportunities and other business support. The team's free fortnightly Business Support Newsletter is a useful way for local businesses to keep up with opportunities available across the district.</w:t>
      </w:r>
    </w:p>
    <w:p>
      <w:pPr>
        <w:pStyle w:val="BodyText"/>
        <w:widowControl/>
        <w:spacing w:lineRule="auto" w:line="278" w:before="0" w:after="300"/>
        <w:ind w:hanging="0" w:left="0" w:right="0"/>
        <w:rPr>
          <w:rFonts w:ascii="Arial" w:hAnsi="Arial"/>
          <w:b w:val="false"/>
          <w:i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If you run a business locally, or know someone who does, we would encourage you to make use of the service and sign up for the updates. Business Support newsletter can be requested here - https://www.southoxon.gov.uk/south-oxfordshire-district-council/business-and-economy/advice-for-businesses/keep-up-to-date-sign-up-to-our-newsletter/</w:t>
      </w:r>
    </w:p>
    <w:p>
      <w:pPr>
        <w:pStyle w:val="BodyText"/>
        <w:widowControl/>
        <w:spacing w:lineRule="auto" w:line="278" w:before="0" w:after="300"/>
        <w:ind w:hanging="0" w:left="0" w:right="0"/>
        <w:rPr>
          <w:rFonts w:ascii="Arial" w:hAnsi="Arial"/>
          <w:b/>
          <w:bCs/>
          <w:i w:val="false"/>
          <w:i w:val="false"/>
          <w:caps w:val="false"/>
          <w:smallCaps w:val="false"/>
          <w:color w:val="000000"/>
          <w:spacing w:val="0"/>
          <w:sz w:val="24"/>
          <w:szCs w:val="24"/>
        </w:rPr>
      </w:pPr>
      <w:r>
        <w:rPr>
          <w:rFonts w:ascii="Arial" w:hAnsi="Arial"/>
          <w:b/>
          <w:bCs/>
          <w:i w:val="false"/>
          <w:caps w:val="false"/>
          <w:smallCaps w:val="false"/>
          <w:color w:val="000000"/>
          <w:spacing w:val="0"/>
          <w:sz w:val="24"/>
          <w:szCs w:val="24"/>
        </w:rPr>
        <w:t>Free Electric Blanket Safety Testing</w:t>
      </w:r>
    </w:p>
    <w:p>
      <w:pPr>
        <w:pStyle w:val="BodyText"/>
        <w:widowControl/>
        <w:spacing w:lineRule="auto" w:line="278" w:before="0" w:after="300"/>
        <w:ind w:hanging="0" w:left="0" w:right="0"/>
        <w:rPr>
          <w:rFonts w:ascii="Arial" w:hAnsi="Arial"/>
          <w:b w:val="false"/>
          <w:i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Oxfordshire residents can access free electric blanket safety testing this autumn. Electric blankets can develop faults that are not always visible, so the checks are particularly useful for older blankets or those that have been stored for long periods.</w:t>
      </w:r>
    </w:p>
    <w:p>
      <w:pPr>
        <w:pStyle w:val="BodyText"/>
        <w:widowControl/>
        <w:spacing w:lineRule="auto" w:line="278" w:before="0" w:after="300"/>
        <w:ind w:hanging="0" w:left="0" w:right="0"/>
        <w:rPr>
          <w:rFonts w:ascii="Arial" w:hAnsi="Arial"/>
          <w:b w:val="false"/>
          <w:i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t>Local sessions include Didcot on 5 October, with a Thame date also expected to be confirmed. Places need to be booked in advance, so residents who use electric blankets are encouraged to take advantage of the free service.</w:t>
      </w:r>
    </w:p>
    <w:p>
      <w:pPr>
        <w:pStyle w:val="BodyText"/>
        <w:widowControl/>
        <w:spacing w:lineRule="auto" w:line="278" w:before="0" w:after="300"/>
        <w:ind w:hanging="0" w:left="0" w:right="0"/>
        <w:rPr>
          <w:rFonts w:ascii="Arial" w:hAnsi="Arial"/>
          <w:b w:val="false"/>
          <w:i w:val="false"/>
          <w:i w:val="false"/>
          <w:caps w:val="false"/>
          <w:smallCaps w:val="false"/>
          <w:color w:val="000000"/>
          <w:spacing w:val="0"/>
          <w:sz w:val="24"/>
          <w:szCs w:val="24"/>
        </w:rPr>
      </w:pPr>
      <w:r>
        <w:rPr>
          <w:rFonts w:ascii="Arial" w:hAnsi="Arial"/>
          <w:b/>
          <w:i w:val="false"/>
          <w:caps w:val="false"/>
          <w:smallCaps w:val="false"/>
          <w:color w:val="000000"/>
          <w:spacing w:val="0"/>
          <w:sz w:val="24"/>
          <w:szCs w:val="24"/>
        </w:rPr>
        <w:t>Zero Waste Week</w:t>
      </w:r>
      <w:r>
        <w:rPr>
          <w:rFonts w:ascii="Arial" w:hAnsi="Arial"/>
          <w:b w:val="false"/>
          <w:i w:val="false"/>
          <w:caps w:val="false"/>
          <w:smallCaps w:val="false"/>
          <w:color w:val="000000"/>
          <w:spacing w:val="0"/>
          <w:sz w:val="24"/>
          <w:szCs w:val="24"/>
        </w:rPr>
        <w:t xml:space="preserve"> </w:t>
      </w:r>
    </w:p>
    <w:p>
      <w:pPr>
        <w:pStyle w:val="Normal"/>
        <w:widowControl/>
        <w:spacing w:lineRule="auto" w:line="278" w:before="0" w:after="300"/>
        <w:ind w:hanging="0" w:left="0" w:right="0"/>
        <w:rPr/>
      </w:pPr>
      <w:r>
        <w:rPr>
          <w:rFonts w:ascii="Arial" w:hAnsi="Arial"/>
          <w:b w:val="false"/>
          <w:bCs w:val="false"/>
          <w:i w:val="false"/>
          <w:caps w:val="false"/>
          <w:smallCaps w:val="false"/>
          <w:color w:val="000000"/>
          <w:spacing w:val="0"/>
          <w:sz w:val="24"/>
          <w:szCs w:val="24"/>
        </w:rPr>
        <w:t xml:space="preserve">This is coming up soon.  People </w:t>
      </w:r>
      <w:r>
        <w:rPr>
          <w:rFonts w:ascii="Arial" w:hAnsi="Arial"/>
          <w:color w:val="000000"/>
          <w:sz w:val="24"/>
        </w:rPr>
        <w:t>are being encouraged to discover how preventing waste can be easier than they think</w:t>
      </w:r>
      <w:r>
        <w:rPr>
          <w:rFonts w:ascii="Arial" w:hAnsi="Arial"/>
        </w:rPr>
        <w:t xml:space="preserve"> . </w:t>
      </w:r>
      <w:r>
        <w:rPr>
          <w:rFonts w:ascii="Arial" w:hAnsi="Arial"/>
          <w:b w:val="false"/>
          <w:i w:val="false"/>
          <w:caps w:val="false"/>
          <w:smallCaps w:val="false"/>
          <w:color w:val="000000"/>
          <w:spacing w:val="0"/>
          <w:sz w:val="24"/>
        </w:rPr>
        <w:t>As part of the councils’</w:t>
      </w:r>
      <w:r>
        <w:rPr>
          <w:rFonts w:ascii="Aptos;Aptos EmbeddedFont;Aptos MSFontService;Calibri;Helvetica;sans-serif" w:hAnsi="Aptos;Aptos EmbeddedFont;Aptos MSFontService;Calibri;Helvetica;sans-serif"/>
          <w:b w:val="false"/>
          <w:i w:val="false"/>
          <w:caps w:val="false"/>
          <w:smallCaps w:val="false"/>
          <w:color w:val="000000"/>
          <w:spacing w:val="0"/>
          <w:sz w:val="24"/>
        </w:rPr>
        <w:t> </w:t>
      </w:r>
      <w:hyperlink r:id="rId3" w:tgtFrame="_blank">
        <w:bookmarkStart w:id="0" w:name="OWAc78cd6bb-5cde-5e44-32b5-00793941f601_"/>
        <w:bookmarkEnd w:id="0"/>
        <w:r>
          <w:rPr>
            <w:rStyle w:val="Hyperlink"/>
            <w:rFonts w:ascii="inherit" w:hAnsi="inherit"/>
            <w:b/>
            <w:i w:val="false"/>
            <w:caps w:val="false"/>
            <w:smallCaps w:val="false"/>
            <w:color w:val="008094"/>
            <w:spacing w:val="0"/>
            <w:sz w:val="24"/>
            <w:u w:val="single"/>
          </w:rPr>
          <w:t>Waste Less. Clean Spaces. Better Places</w:t>
        </w:r>
      </w:hyperlink>
      <w:hyperlink r:id="rId4" w:tgtFrame="_blank">
        <w:bookmarkStart w:id="1" w:name="OWAc78cd6bb-5cde-5e44-32b5-00793941f601"/>
        <w:bookmarkEnd w:id="1"/>
        <w:r>
          <w:rPr>
            <w:rStyle w:val="Hyperlink"/>
            <w:rFonts w:ascii="Aptos;Aptos EmbeddedFont;Aptos MSFontService;Calibri;Helvetica;sans-serif" w:hAnsi="Aptos;Aptos EmbeddedFont;Aptos MSFontService;Calibri;Helvetica;sans-serif"/>
            <w:b w:val="false"/>
            <w:i w:val="false"/>
            <w:caps w:val="false"/>
            <w:smallCaps w:val="false"/>
            <w:color w:val="008094"/>
            <w:spacing w:val="0"/>
            <w:sz w:val="24"/>
            <w:u w:val="single"/>
          </w:rPr>
          <w:t xml:space="preserve">  </w:t>
        </w:r>
      </w:hyperlink>
      <w:r>
        <w:rPr>
          <w:rStyle w:val="Hyperlink"/>
          <w:rFonts w:ascii="Aptos;Aptos EmbeddedFont;Aptos MSFontService;Calibri;Helvetica;sans-serif" w:hAnsi="Aptos;Aptos EmbeddedFont;Aptos MSFontService;Calibri;Helvetica;sans-serif"/>
          <w:b/>
          <w:i w:val="false"/>
          <w:caps w:val="false"/>
          <w:smallCaps w:val="false"/>
          <w:color w:val="008094"/>
          <w:spacing w:val="0"/>
          <w:sz w:val="24"/>
          <w:u w:val="single"/>
        </w:rPr>
        <w:t>campaign</w:t>
      </w:r>
      <w:r>
        <w:rPr>
          <w:rFonts w:ascii="Aptos;Aptos EmbeddedFont;Aptos MSFontService;Calibri;Helvetica;sans-serif" w:hAnsi="Aptos;Aptos EmbeddedFont;Aptos MSFontService;Calibri;Helvetica;sans-serif"/>
          <w:b w:val="false"/>
          <w:i w:val="false"/>
          <w:caps w:val="false"/>
          <w:smallCaps w:val="false"/>
          <w:color w:val="000000"/>
          <w:spacing w:val="0"/>
          <w:sz w:val="24"/>
        </w:rPr>
        <w:t xml:space="preserve">, </w:t>
      </w:r>
      <w:r>
        <w:rPr>
          <w:rFonts w:ascii="Arial" w:hAnsi="Arial"/>
          <w:b w:val="false"/>
          <w:i w:val="false"/>
          <w:caps w:val="false"/>
          <w:smallCaps w:val="false"/>
          <w:color w:val="000000"/>
          <w:spacing w:val="0"/>
          <w:sz w:val="24"/>
        </w:rPr>
        <w:t>th</w:t>
      </w:r>
      <w:r>
        <w:rPr>
          <w:rFonts w:ascii="Arial" w:hAnsi="Arial"/>
          <w:b w:val="false"/>
          <w:i w:val="false"/>
          <w:caps w:val="false"/>
          <w:smallCaps w:val="false"/>
          <w:color w:val="000000"/>
          <w:spacing w:val="0"/>
          <w:sz w:val="24"/>
        </w:rPr>
        <w:t>e</w:t>
      </w:r>
      <w:r>
        <w:rPr>
          <w:rFonts w:ascii="Arial" w:hAnsi="Arial"/>
          <w:b w:val="false"/>
          <w:i w:val="false"/>
          <w:caps w:val="false"/>
          <w:smallCaps w:val="false"/>
          <w:color w:val="000000"/>
          <w:spacing w:val="0"/>
          <w:sz w:val="24"/>
        </w:rPr>
        <w:t xml:space="preserve"> focus is on preventing waste before it’s created.</w:t>
      </w:r>
    </w:p>
    <w:p>
      <w:pPr>
        <w:pStyle w:val="Normal"/>
        <w:widowControl/>
        <w:spacing w:before="0" w:after="300"/>
        <w:ind w:hanging="0" w:left="0" w:right="0"/>
        <w:rPr>
          <w:rFonts w:ascii="Arial" w:hAnsi="Arial"/>
          <w:b w:val="false"/>
          <w:i w:val="false"/>
          <w:caps w:val="false"/>
          <w:smallCaps w:val="false"/>
          <w:color w:val="000000"/>
          <w:spacing w:val="0"/>
          <w:sz w:val="24"/>
        </w:rPr>
      </w:pPr>
      <w:r>
        <w:rPr>
          <w:rFonts w:ascii="Arial" w:hAnsi="Arial"/>
          <w:b w:val="false"/>
          <w:i w:val="false"/>
          <w:caps w:val="false"/>
          <w:smallCaps w:val="false"/>
          <w:color w:val="000000"/>
          <w:spacing w:val="0"/>
          <w:sz w:val="24"/>
        </w:rPr>
        <w:t xml:space="preserve">That could mean planning meals to reduce food waste, borrowing instead of buying, repairing broken items, refilling household products or donating unwanted belongings. </w:t>
      </w:r>
      <w:r>
        <w:rPr>
          <w:rFonts w:ascii="Arial" w:hAnsi="Arial"/>
          <w:b w:val="false"/>
          <w:i w:val="false"/>
          <w:caps w:val="false"/>
          <w:smallCaps w:val="false"/>
          <w:color w:val="000000"/>
          <w:spacing w:val="0"/>
          <w:sz w:val="24"/>
        </w:rPr>
        <w:t>T</w:t>
      </w:r>
      <w:r>
        <w:rPr>
          <w:rFonts w:ascii="Arial" w:hAnsi="Arial"/>
          <w:b w:val="false"/>
          <w:i w:val="false"/>
          <w:caps w:val="false"/>
          <w:smallCaps w:val="false"/>
          <w:color w:val="000000"/>
          <w:spacing w:val="0"/>
          <w:sz w:val="24"/>
        </w:rPr>
        <w:t>he councils will be highlighting local refill shops, Libraries of Things and practical ideas that make it easier for residents to waste less without changing their lifestyle.</w:t>
      </w:r>
    </w:p>
    <w:p>
      <w:pPr>
        <w:pStyle w:val="Normal"/>
        <w:widowControl/>
        <w:spacing w:lineRule="auto" w:line="278" w:before="0" w:after="300"/>
        <w:ind w:hanging="0" w:left="0" w:right="0"/>
        <w:rPr/>
      </w:pPr>
      <w:r>
        <w:rPr>
          <w:rFonts w:ascii="Arial" w:hAnsi="Arial"/>
          <w:b w:val="false"/>
          <w:bCs w:val="false"/>
          <w:i w:val="false"/>
          <w:caps w:val="false"/>
          <w:smallCaps w:val="false"/>
          <w:color w:val="000000"/>
          <w:spacing w:val="0"/>
          <w:sz w:val="24"/>
          <w:szCs w:val="24"/>
        </w:rPr>
        <w:t>M</w:t>
      </w:r>
      <w:r>
        <w:rPr>
          <w:rFonts w:ascii="Arial" w:hAnsi="Arial"/>
          <w:b w:val="false"/>
          <w:bCs w:val="false"/>
          <w:i w:val="false"/>
          <w:caps w:val="false"/>
          <w:smallCaps w:val="false"/>
          <w:color w:val="000000"/>
          <w:spacing w:val="0"/>
          <w:sz w:val="24"/>
          <w:szCs w:val="24"/>
        </w:rPr>
        <w:t xml:space="preserve">embers of the councils’ Waste Team will be on hand to answer your questions </w:t>
      </w:r>
      <w:r>
        <w:rPr>
          <w:rFonts w:ascii="Arial" w:hAnsi="Arial"/>
          <w:b w:val="false"/>
          <w:bCs w:val="false"/>
          <w:i w:val="false"/>
          <w:caps w:val="false"/>
          <w:smallCaps w:val="false"/>
          <w:color w:val="000000"/>
          <w:spacing w:val="0"/>
          <w:sz w:val="24"/>
          <w:szCs w:val="24"/>
        </w:rPr>
        <w:t>at</w:t>
      </w:r>
      <w:r>
        <w:rPr>
          <w:rFonts w:ascii="Arial" w:hAnsi="Arial"/>
          <w:b w:val="false"/>
          <w:bCs w:val="false"/>
          <w:i w:val="false"/>
          <w:caps w:val="false"/>
          <w:smallCaps w:val="false"/>
          <w:color w:val="000000"/>
          <w:spacing w:val="0"/>
          <w:sz w:val="24"/>
          <w:szCs w:val="24"/>
        </w:rPr>
        <w:t>:</w:t>
      </w:r>
    </w:p>
    <w:p>
      <w:pPr>
        <w:pStyle w:val="BodyText"/>
        <w:numPr>
          <w:ilvl w:val="0"/>
          <w:numId w:val="1"/>
        </w:numPr>
        <w:pBdr/>
        <w:tabs>
          <w:tab w:val="clear" w:pos="720"/>
          <w:tab w:val="left" w:pos="0" w:leader="none"/>
        </w:tabs>
        <w:spacing w:lineRule="auto" w:line="278" w:before="0" w:after="0"/>
        <w:ind w:hanging="283" w:left="300" w:right="0"/>
        <w:jc w:val="left"/>
        <w:rPr>
          <w:rFonts w:ascii="Arial" w:hAnsi="Arial"/>
          <w:b w:val="false"/>
          <w:bCs w:val="false"/>
          <w:color w:val="000000"/>
          <w:sz w:val="24"/>
        </w:rPr>
      </w:pPr>
      <w:r>
        <w:rPr>
          <w:rFonts w:ascii="Arial" w:hAnsi="Arial"/>
          <w:b w:val="false"/>
          <w:bCs w:val="false"/>
          <w:color w:val="000000"/>
          <w:sz w:val="24"/>
        </w:rPr>
        <w:t>12 September – </w:t>
      </w:r>
      <w:r>
        <w:rPr>
          <w:rFonts w:ascii="Arial" w:hAnsi="Arial"/>
          <w:b w:val="false"/>
          <w:bCs w:val="false"/>
          <w:color w:val="000000"/>
          <w:sz w:val="24"/>
        </w:rPr>
        <w:t>Didcot</w:t>
      </w:r>
      <w:r>
        <w:rPr>
          <w:rFonts w:ascii="Arial" w:hAnsi="Arial"/>
          <w:b w:val="false"/>
          <w:bCs w:val="false"/>
          <w:color w:val="000000"/>
          <w:sz w:val="24"/>
        </w:rPr>
        <w:t> – 9am-2pm</w:t>
      </w:r>
    </w:p>
    <w:p>
      <w:pPr>
        <w:pStyle w:val="BodyText"/>
        <w:numPr>
          <w:ilvl w:val="0"/>
          <w:numId w:val="1"/>
        </w:numPr>
        <w:pBdr/>
        <w:tabs>
          <w:tab w:val="clear" w:pos="720"/>
          <w:tab w:val="left" w:pos="0" w:leader="none"/>
        </w:tabs>
        <w:spacing w:lineRule="auto" w:line="278" w:before="0" w:after="0"/>
        <w:ind w:hanging="283" w:left="300" w:right="0"/>
        <w:jc w:val="left"/>
        <w:rPr>
          <w:rFonts w:ascii="Arial" w:hAnsi="Arial"/>
          <w:b w:val="false"/>
          <w:bCs w:val="false"/>
          <w:color w:val="000000"/>
          <w:sz w:val="24"/>
        </w:rPr>
      </w:pPr>
      <w:r>
        <w:rPr>
          <w:rFonts w:ascii="Arial" w:hAnsi="Arial"/>
          <w:b w:val="false"/>
          <w:bCs w:val="false"/>
          <w:color w:val="000000"/>
          <w:sz w:val="24"/>
        </w:rPr>
        <w:t>16 September – </w:t>
      </w:r>
      <w:r>
        <w:rPr>
          <w:rFonts w:ascii="Arial" w:hAnsi="Arial"/>
          <w:b w:val="false"/>
          <w:bCs w:val="false"/>
          <w:color w:val="000000"/>
          <w:sz w:val="24"/>
        </w:rPr>
        <w:t>Wantage</w:t>
      </w:r>
      <w:r>
        <w:rPr>
          <w:rFonts w:ascii="Arial" w:hAnsi="Arial"/>
          <w:b w:val="false"/>
          <w:bCs w:val="false"/>
          <w:color w:val="000000"/>
          <w:sz w:val="24"/>
        </w:rPr>
        <w:t> – 8am-3pm</w:t>
      </w:r>
    </w:p>
    <w:p>
      <w:pPr>
        <w:pStyle w:val="BodyText"/>
        <w:numPr>
          <w:ilvl w:val="0"/>
          <w:numId w:val="1"/>
        </w:numPr>
        <w:pBdr/>
        <w:tabs>
          <w:tab w:val="clear" w:pos="720"/>
          <w:tab w:val="left" w:pos="0" w:leader="none"/>
        </w:tabs>
        <w:spacing w:lineRule="auto" w:line="278" w:before="0" w:after="0"/>
        <w:ind w:hanging="283" w:left="300" w:right="0"/>
        <w:jc w:val="left"/>
        <w:rPr>
          <w:rFonts w:ascii="Arial" w:hAnsi="Arial"/>
          <w:b w:val="false"/>
          <w:bCs w:val="false"/>
          <w:color w:val="000000"/>
          <w:sz w:val="24"/>
        </w:rPr>
      </w:pPr>
      <w:r>
        <w:rPr>
          <w:rFonts w:ascii="Arial" w:hAnsi="Arial"/>
          <w:b w:val="false"/>
          <w:bCs w:val="false"/>
          <w:color w:val="000000"/>
          <w:sz w:val="24"/>
        </w:rPr>
        <w:t>25 September – </w:t>
      </w:r>
      <w:r>
        <w:rPr>
          <w:rFonts w:ascii="Arial" w:hAnsi="Arial"/>
          <w:b w:val="false"/>
          <w:bCs w:val="false"/>
          <w:color w:val="000000"/>
          <w:sz w:val="24"/>
        </w:rPr>
        <w:t>Wallingford</w:t>
      </w:r>
      <w:r>
        <w:rPr>
          <w:rFonts w:ascii="Arial" w:hAnsi="Arial"/>
          <w:b w:val="false"/>
          <w:bCs w:val="false"/>
          <w:color w:val="000000"/>
          <w:sz w:val="24"/>
        </w:rPr>
        <w:t> – 9am-2pm</w:t>
      </w:r>
    </w:p>
    <w:p>
      <w:pPr>
        <w:pStyle w:val="BodyText"/>
        <w:numPr>
          <w:ilvl w:val="0"/>
          <w:numId w:val="1"/>
        </w:numPr>
        <w:pBdr/>
        <w:tabs>
          <w:tab w:val="clear" w:pos="720"/>
          <w:tab w:val="left" w:pos="0" w:leader="none"/>
        </w:tabs>
        <w:spacing w:lineRule="auto" w:line="278" w:before="0" w:after="0"/>
        <w:ind w:hanging="283" w:left="300" w:right="0"/>
        <w:jc w:val="left"/>
        <w:rPr>
          <w:rFonts w:ascii="Arial" w:hAnsi="Arial"/>
          <w:b w:val="false"/>
          <w:bCs w:val="false"/>
          <w:color w:val="000000"/>
          <w:sz w:val="24"/>
        </w:rPr>
      </w:pPr>
      <w:r>
        <w:rPr>
          <w:rFonts w:ascii="Arial" w:hAnsi="Arial"/>
          <w:b w:val="false"/>
          <w:bCs w:val="false"/>
          <w:color w:val="000000"/>
          <w:sz w:val="24"/>
        </w:rPr>
        <w:t>6 October – </w:t>
      </w:r>
      <w:r>
        <w:rPr>
          <w:rFonts w:ascii="Arial" w:hAnsi="Arial"/>
          <w:b w:val="false"/>
          <w:bCs w:val="false"/>
          <w:color w:val="000000"/>
          <w:sz w:val="24"/>
        </w:rPr>
        <w:t>Faringdon</w:t>
      </w:r>
      <w:r>
        <w:rPr>
          <w:rFonts w:ascii="Arial" w:hAnsi="Arial"/>
          <w:b w:val="false"/>
          <w:bCs w:val="false"/>
          <w:color w:val="000000"/>
          <w:sz w:val="24"/>
        </w:rPr>
        <w:t> – 8:30am-1pm</w:t>
      </w:r>
    </w:p>
    <w:p>
      <w:pPr>
        <w:pStyle w:val="BodyText"/>
        <w:numPr>
          <w:ilvl w:val="0"/>
          <w:numId w:val="1"/>
        </w:numPr>
        <w:pBdr/>
        <w:tabs>
          <w:tab w:val="clear" w:pos="720"/>
          <w:tab w:val="left" w:pos="0" w:leader="none"/>
        </w:tabs>
        <w:spacing w:lineRule="auto" w:line="278" w:before="0" w:after="0"/>
        <w:ind w:hanging="283" w:left="300" w:right="0"/>
        <w:jc w:val="left"/>
        <w:rPr>
          <w:rFonts w:ascii="Arial" w:hAnsi="Arial"/>
          <w:b w:val="false"/>
          <w:bCs w:val="false"/>
          <w:color w:val="000000"/>
          <w:sz w:val="24"/>
        </w:rPr>
      </w:pPr>
      <w:r>
        <w:rPr>
          <w:rFonts w:ascii="Arial" w:hAnsi="Arial"/>
          <w:b w:val="false"/>
          <w:bCs w:val="false"/>
          <w:color w:val="000000"/>
          <w:sz w:val="24"/>
        </w:rPr>
        <w:t>13 October – </w:t>
      </w:r>
      <w:r>
        <w:rPr>
          <w:rFonts w:ascii="Arial" w:hAnsi="Arial"/>
          <w:b w:val="false"/>
          <w:bCs w:val="false"/>
          <w:color w:val="000000"/>
          <w:sz w:val="24"/>
        </w:rPr>
        <w:t>Thame </w:t>
      </w:r>
      <w:r>
        <w:rPr>
          <w:rFonts w:ascii="Arial" w:hAnsi="Arial"/>
          <w:b w:val="false"/>
          <w:bCs w:val="false"/>
          <w:color w:val="000000"/>
          <w:sz w:val="24"/>
        </w:rPr>
        <w:t>– 8am-2.30pm</w:t>
      </w:r>
    </w:p>
    <w:p>
      <w:pPr>
        <w:pStyle w:val="BodyText"/>
        <w:numPr>
          <w:ilvl w:val="0"/>
          <w:numId w:val="1"/>
        </w:numPr>
        <w:pBdr/>
        <w:tabs>
          <w:tab w:val="clear" w:pos="720"/>
          <w:tab w:val="left" w:pos="0" w:leader="none"/>
        </w:tabs>
        <w:spacing w:lineRule="auto" w:line="278" w:before="0" w:after="0"/>
        <w:ind w:hanging="283" w:left="300" w:right="0"/>
        <w:jc w:val="left"/>
        <w:rPr>
          <w:rFonts w:ascii="Arial" w:hAnsi="Arial"/>
          <w:b w:val="false"/>
          <w:bCs w:val="false"/>
          <w:color w:val="000000"/>
          <w:sz w:val="24"/>
        </w:rPr>
      </w:pPr>
      <w:r>
        <w:rPr>
          <w:rFonts w:ascii="Arial" w:hAnsi="Arial"/>
          <w:b w:val="false"/>
          <w:bCs w:val="false"/>
          <w:color w:val="000000"/>
          <w:sz w:val="24"/>
        </w:rPr>
        <w:t>22 October – </w:t>
      </w:r>
      <w:r>
        <w:rPr>
          <w:rFonts w:ascii="Arial" w:hAnsi="Arial"/>
          <w:b w:val="false"/>
          <w:bCs w:val="false"/>
          <w:color w:val="000000"/>
          <w:sz w:val="24"/>
        </w:rPr>
        <w:t>Henley</w:t>
      </w:r>
      <w:r>
        <w:rPr>
          <w:rFonts w:ascii="Arial" w:hAnsi="Arial"/>
          <w:b w:val="false"/>
          <w:bCs w:val="false"/>
          <w:color w:val="000000"/>
          <w:sz w:val="24"/>
        </w:rPr>
        <w:t> – 9am-2pm</w:t>
      </w:r>
    </w:p>
    <w:p>
      <w:pPr>
        <w:pStyle w:val="BodyText"/>
        <w:spacing w:lineRule="auto" w:line="278" w:before="0" w:after="0"/>
        <w:ind w:hanging="0" w:left="0" w:right="0"/>
        <w:rPr>
          <w:rFonts w:ascii="Aptos;Aptos EmbeddedFont;Aptos MSFontService;Calibri;Helvetica;sans-serif" w:hAnsi="Aptos;Aptos EmbeddedFont;Aptos MSFontService;Calibri;Helvetica;sans-serif"/>
          <w:color w:val="000000"/>
          <w:sz w:val="24"/>
        </w:rPr>
      </w:pPr>
      <w:r>
        <w:rPr>
          <w:rFonts w:ascii="Aptos;Aptos EmbeddedFont;Aptos MSFontService;Calibri;Helvetica;sans-serif" w:hAnsi="Aptos;Aptos EmbeddedFont;Aptos MSFontService;Calibri;Helvetica;sans-serif"/>
          <w:color w:val="000000"/>
          <w:sz w:val="24"/>
        </w:rPr>
      </w:r>
    </w:p>
    <w:p>
      <w:pPr>
        <w:pStyle w:val="BodyText"/>
        <w:widowControl/>
        <w:spacing w:lineRule="auto" w:line="278" w:before="0" w:after="300"/>
        <w:ind w:hanging="0" w:left="0" w:right="0"/>
        <w:rPr>
          <w:rFonts w:ascii="Arial" w:hAnsi="Arial"/>
          <w:b w:val="false"/>
          <w:i w:val="false"/>
          <w:i w:val="false"/>
          <w:caps w:val="false"/>
          <w:smallCaps w:val="false"/>
          <w:color w:val="000000"/>
          <w:spacing w:val="0"/>
          <w:sz w:val="24"/>
          <w:szCs w:val="24"/>
        </w:rPr>
      </w:pPr>
      <w:r>
        <w:rPr>
          <w:rFonts w:ascii="Arial" w:hAnsi="Arial"/>
          <w:b w:val="false"/>
          <w:i w:val="false"/>
          <w:caps w:val="false"/>
          <w:smallCaps w:val="false"/>
          <w:color w:val="000000"/>
          <w:spacing w:val="0"/>
          <w:sz w:val="24"/>
          <w:szCs w:val="24"/>
        </w:rPr>
      </w:r>
    </w:p>
    <w:p>
      <w:pPr>
        <w:pStyle w:val="BodyText"/>
        <w:spacing w:lineRule="auto" w:line="278" w:before="0" w:after="300"/>
        <w:rPr>
          <w:rFonts w:ascii="Arial" w:hAnsi="Arial"/>
          <w:sz w:val="24"/>
          <w:szCs w:val="24"/>
        </w:rPr>
      </w:pPr>
      <w:r>
        <w:rPr>
          <w:rFonts w:ascii="Arial" w:hAnsi="Arial"/>
          <w:sz w:val="24"/>
          <w:szCs w:val="24"/>
        </w:rPr>
      </w:r>
    </w:p>
    <w:sectPr>
      <w:type w:val="nextPage"/>
      <w:pgSz w:w="11906" w:h="16838"/>
      <w:pgMar w:left="1440" w:right="1440" w:gutter="0" w:header="0" w:top="840" w:footer="0" w:bottom="45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w:charset w:val="01"/>
    <w:family w:val="swiss"/>
    <w:pitch w:val="variable"/>
  </w:font>
  <w:font w:name="Aptos">
    <w:altName w:val="Aptos EmbeddedFont"/>
    <w:charset w:val="00"/>
    <w:family w:val="auto"/>
    <w:pitch w:val="default"/>
  </w:font>
  <w:font w:name="inherit">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00"/>
        </w:tabs>
        <w:ind w:left="30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n-GB"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8" w:before="0" w:after="160"/>
      <w:jc w:val="left"/>
    </w:pPr>
    <w:rPr>
      <w:rFonts w:ascii="Aptos" w:hAnsi="Aptos" w:eastAsia="Aptos" w:cs="" w:asciiTheme="minorHAnsi" w:cstheme="minorBidi" w:eastAsiaTheme="minorHAnsi" w:hAnsiTheme="minorHAnsi"/>
      <w:color w:val="auto"/>
      <w:kern w:val="2"/>
      <w:sz w:val="24"/>
      <w:szCs w:val="24"/>
      <w:lang w:val="en-GB" w:eastAsia="en-US" w:bidi="ar-SA"/>
      <w14:ligatures w14:val="standardContextual"/>
    </w:rPr>
  </w:style>
  <w:style w:type="paragraph" w:styleId="Heading1">
    <w:name w:val="heading 1"/>
    <w:basedOn w:val="Normal"/>
    <w:next w:val="Normal"/>
    <w:link w:val="Heading1Char"/>
    <w:uiPriority w:val="9"/>
    <w:qFormat/>
    <w:rsid w:val="009f2052"/>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Heading2Char"/>
    <w:uiPriority w:val="9"/>
    <w:semiHidden/>
    <w:unhideWhenUsed/>
    <w:qFormat/>
    <w:rsid w:val="009f2052"/>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semiHidden/>
    <w:unhideWhenUsed/>
    <w:qFormat/>
    <w:rsid w:val="009f2052"/>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9f2052"/>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9f2052"/>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9f2052"/>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9f2052"/>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9f2052"/>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9f2052"/>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9f2052"/>
    <w:rPr>
      <w:rFonts w:ascii="Aptos Display" w:hAnsi="Aptos Display" w:eastAsia="" w:cs=""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link w:val="Heading2"/>
    <w:uiPriority w:val="9"/>
    <w:semiHidden/>
    <w:qFormat/>
    <w:rsid w:val="009f2052"/>
    <w:rPr>
      <w:rFonts w:ascii="Aptos Display" w:hAnsi="Aptos Display" w:eastAsia="" w:cs=""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semiHidden/>
    <w:qFormat/>
    <w:rsid w:val="009f2052"/>
    <w:rPr>
      <w:rFonts w:eastAsia="" w:cs=""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9f2052"/>
    <w:rPr>
      <w:rFonts w:eastAsia="" w:cs=""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9f2052"/>
    <w:rPr>
      <w:rFonts w:eastAsia="" w:cs=""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9f2052"/>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9f2052"/>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9f2052"/>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9f2052"/>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9f2052"/>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9f2052"/>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9f2052"/>
    <w:rPr>
      <w:i/>
      <w:iCs/>
      <w:color w:themeColor="text1" w:themeTint="bf" w:val="404040"/>
    </w:rPr>
  </w:style>
  <w:style w:type="character" w:styleId="IntenseEmphasis">
    <w:name w:val="Intense Emphasis"/>
    <w:basedOn w:val="DefaultParagraphFont"/>
    <w:uiPriority w:val="21"/>
    <w:qFormat/>
    <w:rsid w:val="009f2052"/>
    <w:rPr>
      <w:i/>
      <w:iCs/>
      <w:color w:themeColor="accent1" w:themeShade="bf" w:val="0F4761"/>
    </w:rPr>
  </w:style>
  <w:style w:type="character" w:styleId="IntenseQuoteChar" w:customStyle="1">
    <w:name w:val="Intense Quote Char"/>
    <w:basedOn w:val="DefaultParagraphFont"/>
    <w:link w:val="IntenseQuote"/>
    <w:uiPriority w:val="30"/>
    <w:qFormat/>
    <w:rsid w:val="009f2052"/>
    <w:rPr>
      <w:i/>
      <w:iCs/>
      <w:color w:themeColor="accent1" w:themeShade="bf" w:val="0F4761"/>
    </w:rPr>
  </w:style>
  <w:style w:type="character" w:styleId="IntenseReference">
    <w:name w:val="Intense Reference"/>
    <w:basedOn w:val="DefaultParagraphFont"/>
    <w:uiPriority w:val="32"/>
    <w:qFormat/>
    <w:rsid w:val="009f2052"/>
    <w:rPr>
      <w:b/>
      <w:bCs/>
      <w:smallCaps/>
      <w:color w:themeColor="accent1" w:themeShade="bf" w:val="0F4761"/>
      <w:spacing w:val="5"/>
    </w:rPr>
  </w:style>
  <w:style w:type="character" w:styleId="Hyperlink">
    <w:name w:val="Hyperlink"/>
    <w:basedOn w:val="DefaultParagraphFont"/>
    <w:uiPriority w:val="99"/>
    <w:unhideWhenUsed/>
    <w:rsid w:val="002c65da"/>
    <w:rPr>
      <w:color w:themeColor="hyperlink" w:val="467886"/>
      <w:u w:val="single"/>
    </w:rPr>
  </w:style>
  <w:style w:type="character" w:styleId="UnresolvedMention">
    <w:name w:val="Unresolved Mention"/>
    <w:basedOn w:val="DefaultParagraphFont"/>
    <w:uiPriority w:val="99"/>
    <w:semiHidden/>
    <w:unhideWhenUsed/>
    <w:qFormat/>
    <w:rsid w:val="002c65da"/>
    <w:rPr>
      <w:color w:val="605E5C"/>
      <w:shd w:fill="E1DFDD" w:val="clear"/>
    </w:rPr>
  </w:style>
  <w:style w:type="character" w:styleId="FollowedHyperlink">
    <w:name w:val="FollowedHyperlink"/>
    <w:basedOn w:val="DefaultParagraphFont"/>
    <w:uiPriority w:val="99"/>
    <w:semiHidden/>
    <w:unhideWhenUsed/>
    <w:rsid w:val="0038330a"/>
    <w:rPr>
      <w:color w:themeColor="followedHyperlink" w:val="96607D"/>
      <w:u w:val="single"/>
    </w:rPr>
  </w:style>
  <w:style w:type="character" w:styleId="HeaderChar" w:customStyle="1">
    <w:name w:val="Header Char"/>
    <w:basedOn w:val="DefaultParagraphFont"/>
    <w:link w:val="Header"/>
    <w:uiPriority w:val="99"/>
    <w:qFormat/>
    <w:rsid w:val="002525de"/>
    <w:rPr/>
  </w:style>
  <w:style w:type="character" w:styleId="FooterChar" w:customStyle="1">
    <w:name w:val="Footer Char"/>
    <w:basedOn w:val="DefaultParagraphFont"/>
    <w:link w:val="Footer"/>
    <w:uiPriority w:val="99"/>
    <w:qFormat/>
    <w:rsid w:val="002525de"/>
    <w:rPr/>
  </w:style>
  <w:style w:type="character" w:styleId="Strong">
    <w:name w:val="Strong"/>
    <w:qFormat/>
    <w:rPr>
      <w:b/>
      <w:bCs/>
    </w:rPr>
  </w:style>
  <w:style w:type="character" w:styleId="Bullets" w:customStyle="1">
    <w:name w:val="Bullets"/>
    <w:qFormat/>
    <w:rPr>
      <w:rFonts w:ascii="OpenSymbol" w:hAnsi="OpenSymbol" w:eastAsia="OpenSymbol" w:cs="OpenSymbol"/>
    </w:rPr>
  </w:style>
  <w:style w:type="character" w:styleId="Bulletsuser" w:customStyle="1">
    <w:name w:val="Bullets (user)"/>
    <w:qFormat/>
    <w:rPr>
      <w:rFonts w:ascii="OpenSymbol" w:hAnsi="OpenSymbol" w:eastAsia="OpenSymbol" w:cs="OpenSymbol"/>
    </w:rPr>
  </w:style>
  <w:style w:type="paragraph" w:styleId="Heading" w:customStyle="1">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rPr>
  </w:style>
  <w:style w:type="paragraph" w:styleId="Index" w:customStyle="1">
    <w:name w:val="Index"/>
    <w:basedOn w:val="Normal"/>
    <w:qFormat/>
    <w:pPr>
      <w:suppressLineNumbers/>
    </w:pPr>
    <w:rPr>
      <w:rFonts w:cs="Arial"/>
    </w:rPr>
  </w:style>
  <w:style w:type="paragraph" w:styleId="Title">
    <w:name w:val="Title"/>
    <w:basedOn w:val="Normal"/>
    <w:next w:val="Normal"/>
    <w:link w:val="TitleChar"/>
    <w:uiPriority w:val="10"/>
    <w:qFormat/>
    <w:rsid w:val="009f2052"/>
    <w:pPr>
      <w:spacing w:lineRule="auto" w:line="240" w:before="0" w:after="80"/>
      <w:contextualSpacing/>
    </w:pPr>
    <w:rPr>
      <w:rFonts w:ascii="Aptos Display" w:hAnsi="Aptos Display" w:eastAsia="" w:cs="" w:asciiTheme="majorHAnsi" w:cstheme="majorBidi" w:eastAsiaTheme="majorEastAsia" w:hAnsiTheme="majorHAnsi"/>
      <w:spacing w:val="-10"/>
      <w:sz w:val="56"/>
      <w:szCs w:val="56"/>
    </w:rPr>
  </w:style>
  <w:style w:type="paragraph" w:styleId="Subtitle">
    <w:name w:val="Subtitle"/>
    <w:basedOn w:val="Normal"/>
    <w:next w:val="Normal"/>
    <w:link w:val="SubtitleChar"/>
    <w:uiPriority w:val="11"/>
    <w:qFormat/>
    <w:rsid w:val="009f2052"/>
    <w:pPr/>
    <w:rPr>
      <w:rFonts w:eastAsia=""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9f2052"/>
    <w:pPr>
      <w:spacing w:before="160" w:after="160"/>
      <w:jc w:val="center"/>
    </w:pPr>
    <w:rPr>
      <w:i/>
      <w:iCs/>
      <w:color w:themeColor="text1" w:themeTint="bf" w:val="404040"/>
    </w:rPr>
  </w:style>
  <w:style w:type="paragraph" w:styleId="ListParagraph">
    <w:name w:val="List Paragraph"/>
    <w:basedOn w:val="Normal"/>
    <w:uiPriority w:val="34"/>
    <w:qFormat/>
    <w:rsid w:val="009f2052"/>
    <w:pPr>
      <w:spacing w:before="0" w:after="160"/>
      <w:ind w:left="720"/>
      <w:contextualSpacing/>
    </w:pPr>
    <w:rPr/>
  </w:style>
  <w:style w:type="paragraph" w:styleId="IntenseQuote">
    <w:name w:val="Intense Quote"/>
    <w:basedOn w:val="Normal"/>
    <w:next w:val="Normal"/>
    <w:link w:val="IntenseQuoteChar"/>
    <w:uiPriority w:val="30"/>
    <w:qFormat/>
    <w:rsid w:val="009f2052"/>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HeaderandFooter" w:customStyle="1">
    <w:name w:val="Header and Footer"/>
    <w:basedOn w:val="Normal"/>
    <w:qFormat/>
    <w:pPr/>
    <w:rPr/>
  </w:style>
  <w:style w:type="paragraph" w:styleId="Header">
    <w:name w:val="header"/>
    <w:basedOn w:val="Normal"/>
    <w:link w:val="HeaderChar"/>
    <w:uiPriority w:val="99"/>
    <w:unhideWhenUsed/>
    <w:rsid w:val="002525de"/>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2525de"/>
    <w:pPr>
      <w:tabs>
        <w:tab w:val="clear" w:pos="720"/>
        <w:tab w:val="center" w:pos="4513" w:leader="none"/>
        <w:tab w:val="right" w:pos="9026" w:leader="none"/>
      </w:tabs>
      <w:spacing w:lineRule="auto" w:line="240" w:before="0" w:after="0"/>
    </w:pPr>
    <w:rPr/>
  </w:style>
  <w:style w:type="paragraph" w:styleId="NormalWeb">
    <w:name w:val="Normal (Web)"/>
    <w:basedOn w:val="Normal"/>
    <w:uiPriority w:val="99"/>
    <w:semiHidden/>
    <w:unhideWhenUsed/>
    <w:qFormat/>
    <w:rsid w:val="009c290c"/>
    <w:pPr/>
    <w:rPr>
      <w:rFonts w:ascii="Times New Roman" w:hAnsi="Times New Roman" w:cs="Times New Roman"/>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f304d5"/>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rants@southandvale.gov.uk" TargetMode="External"/><Relationship Id="rId3" Type="http://schemas.openxmlformats.org/officeDocument/2006/relationships/hyperlink" Target="https://www.southoxon.gov.uk/waste-and-recycling/new-campaign-encourages-residents-to-waste-less-and-create-cleaner-better-places/" TargetMode="External"/><Relationship Id="rId4" Type="http://schemas.openxmlformats.org/officeDocument/2006/relationships/hyperlink" Target="https://www.southoxon.gov.uk/waste-and-recycling/new-campaign-encourages-residents-to-waste-less-and-create-cleaner-better-places/"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31</TotalTime>
  <Application>LibreOffice/25.2.7.2$Windows_X86_64 LibreOffice_project/5cbfd1ab6520636bb5f7b99185aa69bd7456825d</Application>
  <AppVersion>15.0000</AppVersion>
  <Pages>3</Pages>
  <Words>985</Words>
  <Characters>5664</Characters>
  <CharactersWithSpaces>6626</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2026-08-03T14:19:00Z</dcterms:created>
  <dc:creator>Andrea Powell</dc:creator>
  <dc:description/>
  <dc:language>en-GB</dc:language>
  <cp:lastModifiedBy/>
  <cp:lastPrinted>2026-06-30T23:33:00Z</cp:lastPrinted>
  <dcterms:modified xsi:type="dcterms:W3CDTF">2026-09-07T13:32:42Z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